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ED" w:rsidRDefault="002A49ED" w:rsidP="00E15814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</w:t>
      </w:r>
      <w:r w:rsidR="007974E2">
        <w:rPr>
          <w:bCs/>
          <w:sz w:val="28"/>
          <w:szCs w:val="28"/>
        </w:rPr>
        <w:t>10</w:t>
      </w:r>
      <w:r w:rsidR="00F115E7">
        <w:rPr>
          <w:bCs/>
          <w:sz w:val="28"/>
          <w:szCs w:val="28"/>
        </w:rPr>
        <w:t>.</w:t>
      </w:r>
      <w:r w:rsidR="007974E2">
        <w:rPr>
          <w:bCs/>
          <w:sz w:val="28"/>
          <w:szCs w:val="28"/>
        </w:rPr>
        <w:t>04</w:t>
      </w:r>
      <w:r w:rsidR="00770BA9">
        <w:rPr>
          <w:bCs/>
          <w:sz w:val="28"/>
          <w:szCs w:val="28"/>
        </w:rPr>
        <w:t>.202</w:t>
      </w:r>
      <w:r w:rsidR="00F115E7">
        <w:rPr>
          <w:bCs/>
          <w:sz w:val="28"/>
          <w:szCs w:val="28"/>
        </w:rPr>
        <w:t>4</w:t>
      </w:r>
      <w:r w:rsidR="00770BA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</w:t>
      </w:r>
      <w:r w:rsidR="00B41D8C" w:rsidRPr="00681070">
        <w:rPr>
          <w:bCs/>
          <w:sz w:val="28"/>
          <w:szCs w:val="28"/>
        </w:rPr>
        <w:t xml:space="preserve">№ </w:t>
      </w:r>
      <w:r w:rsidR="007974E2">
        <w:rPr>
          <w:bCs/>
          <w:sz w:val="28"/>
          <w:szCs w:val="28"/>
        </w:rPr>
        <w:t>14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F115E7">
        <w:rPr>
          <w:bCs/>
          <w:sz w:val="22"/>
          <w:szCs w:val="22"/>
        </w:rPr>
        <w:t>1</w:t>
      </w:r>
      <w:r w:rsidR="00F46048">
        <w:rPr>
          <w:bCs/>
          <w:sz w:val="22"/>
          <w:szCs w:val="22"/>
        </w:rPr>
        <w:t>0</w:t>
      </w:r>
      <w:r w:rsidR="00F115E7">
        <w:rPr>
          <w:bCs/>
          <w:sz w:val="22"/>
          <w:szCs w:val="22"/>
        </w:rPr>
        <w:t>.0</w:t>
      </w:r>
      <w:r w:rsidR="00F46048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   №</w:t>
      </w:r>
      <w:r w:rsidR="00F46048">
        <w:rPr>
          <w:bCs/>
          <w:sz w:val="22"/>
          <w:szCs w:val="22"/>
        </w:rPr>
        <w:t xml:space="preserve"> 14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801EFE">
        <w:rPr>
          <w:color w:val="auto"/>
          <w:sz w:val="24"/>
          <w:szCs w:val="24"/>
          <w:lang w:val="ru-RU"/>
        </w:rPr>
        <w:t>2001,</w:t>
      </w:r>
      <w:r w:rsidR="007974E2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801EFE">
        <w:rPr>
          <w:color w:val="auto"/>
          <w:sz w:val="24"/>
          <w:szCs w:val="24"/>
          <w:lang w:val="ru-RU"/>
        </w:rPr>
        <w:t>2001</w:t>
      </w:r>
      <w:r w:rsidR="009F72CF">
        <w:rPr>
          <w:color w:val="auto"/>
          <w:sz w:val="24"/>
          <w:szCs w:val="24"/>
          <w:lang w:val="ru-RU"/>
        </w:rPr>
        <w:t>,7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7974E2">
        <w:rPr>
          <w:sz w:val="24"/>
          <w:szCs w:val="24"/>
          <w:lang w:val="ru-RU"/>
        </w:rPr>
        <w:t>481</w:t>
      </w:r>
      <w:r w:rsidR="006D4471">
        <w:rPr>
          <w:sz w:val="24"/>
          <w:szCs w:val="24"/>
          <w:lang w:val="ru-RU"/>
        </w:rPr>
        <w:t>,0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7974E2">
            <w:pPr>
              <w:jc w:val="center"/>
            </w:pPr>
            <w:r>
              <w:t xml:space="preserve"> 1281</w:t>
            </w:r>
            <w:r w:rsidR="003F32BB">
              <w:t>,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FA0C8F">
            <w:pPr>
              <w:jc w:val="center"/>
            </w:pPr>
            <w:r>
              <w:t>481,0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801EFE" w:rsidP="00FA0C8F">
            <w:pPr>
              <w:jc w:val="center"/>
            </w:pPr>
            <w:r>
              <w:t>1997,7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187EA0">
            <w:pPr>
              <w:jc w:val="center"/>
            </w:pPr>
            <w:r>
              <w:t>1281.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FA0C8F">
            <w:pPr>
              <w:jc w:val="center"/>
            </w:pPr>
            <w:r>
              <w:t>481,0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801EFE" w:rsidP="00FA0C8F">
            <w:pPr>
              <w:jc w:val="center"/>
            </w:pPr>
            <w:r>
              <w:t>199</w:t>
            </w:r>
            <w:r w:rsidR="006749B8">
              <w:t>7</w:t>
            </w:r>
            <w:r>
              <w:t>,7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1997,7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  1997,</w:t>
      </w:r>
      <w:r w:rsidR="006749B8">
        <w:rPr>
          <w:color w:val="auto"/>
          <w:sz w:val="24"/>
          <w:szCs w:val="24"/>
          <w:lang w:val="ru-RU"/>
        </w:rPr>
        <w:t>7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7974E2">
        <w:rPr>
          <w:sz w:val="24"/>
          <w:szCs w:val="24"/>
          <w:lang w:val="ru-RU"/>
        </w:rPr>
        <w:t>481</w:t>
      </w:r>
      <w:r w:rsidR="006749B8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026145" w:rsidP="00026145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</w:t>
      </w:r>
      <w:r w:rsidRPr="002D7197">
        <w:lastRenderedPageBreak/>
        <w:t>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</w:t>
      </w:r>
      <w:r w:rsidRPr="002D7197">
        <w:lastRenderedPageBreak/>
        <w:t xml:space="preserve">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 xml:space="preserve">Система управления реализацией Подпрограммы 2 муниципальной </w:t>
      </w:r>
      <w:r w:rsidRPr="002D7197">
        <w:rPr>
          <w:b/>
        </w:rPr>
        <w:lastRenderedPageBreak/>
        <w:t>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Формирование высококвалифицированного кадрового состава муниципальной службы в администрации  Зоркинского муниципального, обеспечивающего </w:t>
            </w:r>
            <w:r w:rsidRPr="002D7197">
              <w:lastRenderedPageBreak/>
              <w:t>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6A2D91">
            <w:r>
              <w:t>1997,7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9F72CF">
            <w:r>
              <w:t>1997,7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A2D91" w:rsidP="006A2D91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9F72CF" w:rsidP="00AC1E4C">
            <w:r>
              <w:t>199</w:t>
            </w:r>
            <w:r w:rsidR="006A2D91">
              <w:t>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A2D91" w:rsidP="00755669">
            <w:r>
              <w:t>19</w:t>
            </w:r>
            <w:r w:rsidR="00755669">
              <w:t>9</w:t>
            </w:r>
            <w:r>
              <w:t>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9F72CF" w:rsidP="00AC1E4C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6A2D91">
              <w:rPr>
                <w:b/>
              </w:rPr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55669" w:rsidP="00AC1E4C">
            <w:pPr>
              <w:jc w:val="center"/>
            </w:pPr>
            <w:r>
              <w:t>199</w:t>
            </w:r>
            <w:r w:rsidR="006A2D91"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349,</w:t>
            </w:r>
            <w:r w:rsidR="002A49E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393,</w:t>
            </w:r>
            <w:r w:rsidR="002A49ED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671B0B" w:rsidP="00A55EE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 w:rsidP="00E83E7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</w:t>
            </w:r>
            <w:r w:rsidR="00E83E78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E83E78" w:rsidRPr="002D7197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C4489A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013308" w:rsidRPr="002D7197" w:rsidRDefault="00013308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 xml:space="preserve">Подпрограмма  2 «Развитие муниципальной службы в  </w:t>
            </w:r>
            <w:r w:rsidRPr="002D7197">
              <w:rPr>
                <w:b/>
                <w:sz w:val="24"/>
                <w:szCs w:val="24"/>
                <w:lang w:val="ru-RU"/>
              </w:rPr>
              <w:lastRenderedPageBreak/>
              <w:t>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lastRenderedPageBreak/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</w:p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 w:rsidR="006A2D9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йбюджет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013308" w:rsidRPr="00B80186" w:rsidRDefault="00013308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6A2D9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</w:t>
            </w:r>
            <w:r w:rsidR="00013308" w:rsidRPr="00B80186">
              <w:rPr>
                <w:b/>
                <w:sz w:val="24"/>
                <w:szCs w:val="24"/>
              </w:rPr>
              <w:t>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013308"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9B1BBD">
      <w:pgSz w:w="16838" w:h="11906" w:orient="landscape"/>
      <w:pgMar w:top="709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42" w:rsidRDefault="000E2042" w:rsidP="00D41C4D">
      <w:r>
        <w:separator/>
      </w:r>
    </w:p>
  </w:endnote>
  <w:endnote w:type="continuationSeparator" w:id="1">
    <w:p w:rsidR="000E2042" w:rsidRDefault="000E2042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42" w:rsidRDefault="000E2042" w:rsidP="00D41C4D">
      <w:r>
        <w:separator/>
      </w:r>
    </w:p>
  </w:footnote>
  <w:footnote w:type="continuationSeparator" w:id="1">
    <w:p w:rsidR="000E2042" w:rsidRDefault="000E2042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3308"/>
    <w:rsid w:val="0001464C"/>
    <w:rsid w:val="00026145"/>
    <w:rsid w:val="00030146"/>
    <w:rsid w:val="0004197F"/>
    <w:rsid w:val="00052533"/>
    <w:rsid w:val="00053DEA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208EC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7537F"/>
    <w:rsid w:val="00187EA0"/>
    <w:rsid w:val="001A7E1D"/>
    <w:rsid w:val="001C7FC1"/>
    <w:rsid w:val="001D0574"/>
    <w:rsid w:val="00200648"/>
    <w:rsid w:val="002054D5"/>
    <w:rsid w:val="00207F73"/>
    <w:rsid w:val="00213E2F"/>
    <w:rsid w:val="00252FED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5B10"/>
    <w:rsid w:val="002F5FC9"/>
    <w:rsid w:val="00306048"/>
    <w:rsid w:val="00322DE7"/>
    <w:rsid w:val="00326BB1"/>
    <w:rsid w:val="00331535"/>
    <w:rsid w:val="003376CA"/>
    <w:rsid w:val="0035721C"/>
    <w:rsid w:val="00357360"/>
    <w:rsid w:val="00366C91"/>
    <w:rsid w:val="003933DD"/>
    <w:rsid w:val="003B7D29"/>
    <w:rsid w:val="003C4C78"/>
    <w:rsid w:val="003D33C2"/>
    <w:rsid w:val="003F32BB"/>
    <w:rsid w:val="00415702"/>
    <w:rsid w:val="004237C8"/>
    <w:rsid w:val="00446C45"/>
    <w:rsid w:val="0046533C"/>
    <w:rsid w:val="004716F0"/>
    <w:rsid w:val="004761A5"/>
    <w:rsid w:val="00480DE6"/>
    <w:rsid w:val="00483697"/>
    <w:rsid w:val="004943B1"/>
    <w:rsid w:val="004C76A8"/>
    <w:rsid w:val="004C7ED4"/>
    <w:rsid w:val="004E27A8"/>
    <w:rsid w:val="004E6668"/>
    <w:rsid w:val="00521FFE"/>
    <w:rsid w:val="00531E6A"/>
    <w:rsid w:val="00535EB4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257D"/>
    <w:rsid w:val="006243F2"/>
    <w:rsid w:val="00637801"/>
    <w:rsid w:val="00671B0B"/>
    <w:rsid w:val="006724C1"/>
    <w:rsid w:val="006749B8"/>
    <w:rsid w:val="00681070"/>
    <w:rsid w:val="006979CF"/>
    <w:rsid w:val="006A2D91"/>
    <w:rsid w:val="006A7761"/>
    <w:rsid w:val="006B3B24"/>
    <w:rsid w:val="006D4471"/>
    <w:rsid w:val="006E75CC"/>
    <w:rsid w:val="006F6173"/>
    <w:rsid w:val="0070430D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6B6C"/>
    <w:rsid w:val="007974E2"/>
    <w:rsid w:val="00797D31"/>
    <w:rsid w:val="007A2638"/>
    <w:rsid w:val="007C2DA8"/>
    <w:rsid w:val="007D7B32"/>
    <w:rsid w:val="007F1641"/>
    <w:rsid w:val="007F1B84"/>
    <w:rsid w:val="00801EFE"/>
    <w:rsid w:val="00806661"/>
    <w:rsid w:val="008071E9"/>
    <w:rsid w:val="008875E9"/>
    <w:rsid w:val="008A4C30"/>
    <w:rsid w:val="008A60ED"/>
    <w:rsid w:val="008C05B9"/>
    <w:rsid w:val="008D6774"/>
    <w:rsid w:val="008D6BF3"/>
    <w:rsid w:val="008F1308"/>
    <w:rsid w:val="008F4169"/>
    <w:rsid w:val="00924FCA"/>
    <w:rsid w:val="009318AC"/>
    <w:rsid w:val="00943671"/>
    <w:rsid w:val="00954315"/>
    <w:rsid w:val="00996908"/>
    <w:rsid w:val="009B1065"/>
    <w:rsid w:val="009B1BBD"/>
    <w:rsid w:val="009B3C20"/>
    <w:rsid w:val="009C2635"/>
    <w:rsid w:val="009F72CF"/>
    <w:rsid w:val="00A031F9"/>
    <w:rsid w:val="00A113EF"/>
    <w:rsid w:val="00A55EE4"/>
    <w:rsid w:val="00A604F2"/>
    <w:rsid w:val="00A64F94"/>
    <w:rsid w:val="00A738C4"/>
    <w:rsid w:val="00A950A7"/>
    <w:rsid w:val="00AC1E4C"/>
    <w:rsid w:val="00AE6C7C"/>
    <w:rsid w:val="00B106F9"/>
    <w:rsid w:val="00B161B7"/>
    <w:rsid w:val="00B2379A"/>
    <w:rsid w:val="00B40747"/>
    <w:rsid w:val="00B41D8C"/>
    <w:rsid w:val="00B80186"/>
    <w:rsid w:val="00B837A8"/>
    <w:rsid w:val="00BC1727"/>
    <w:rsid w:val="00BC3635"/>
    <w:rsid w:val="00BE4AF7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78EE"/>
    <w:rsid w:val="00CC25AF"/>
    <w:rsid w:val="00CE7D82"/>
    <w:rsid w:val="00D133A4"/>
    <w:rsid w:val="00D15CE6"/>
    <w:rsid w:val="00D25CE1"/>
    <w:rsid w:val="00D41C4D"/>
    <w:rsid w:val="00D44AFA"/>
    <w:rsid w:val="00D54EED"/>
    <w:rsid w:val="00D77C34"/>
    <w:rsid w:val="00D80D94"/>
    <w:rsid w:val="00D87DA8"/>
    <w:rsid w:val="00DB13A4"/>
    <w:rsid w:val="00DC12B6"/>
    <w:rsid w:val="00DD25BB"/>
    <w:rsid w:val="00DE3D0A"/>
    <w:rsid w:val="00DE613E"/>
    <w:rsid w:val="00DF2BCB"/>
    <w:rsid w:val="00E15814"/>
    <w:rsid w:val="00E46C31"/>
    <w:rsid w:val="00E51CAA"/>
    <w:rsid w:val="00E77C43"/>
    <w:rsid w:val="00E8009B"/>
    <w:rsid w:val="00E826B0"/>
    <w:rsid w:val="00E83E78"/>
    <w:rsid w:val="00EB5336"/>
    <w:rsid w:val="00EC59C1"/>
    <w:rsid w:val="00F115E7"/>
    <w:rsid w:val="00F12C57"/>
    <w:rsid w:val="00F43F80"/>
    <w:rsid w:val="00F46048"/>
    <w:rsid w:val="00F51B36"/>
    <w:rsid w:val="00F557F6"/>
    <w:rsid w:val="00F71997"/>
    <w:rsid w:val="00F82B8C"/>
    <w:rsid w:val="00F83F8C"/>
    <w:rsid w:val="00F93906"/>
    <w:rsid w:val="00FA0C8F"/>
    <w:rsid w:val="00FA23C2"/>
    <w:rsid w:val="00FB374F"/>
    <w:rsid w:val="00FB479D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24</Pages>
  <Words>7418</Words>
  <Characters>42286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120</cp:revision>
  <cp:lastPrinted>2024-04-16T05:29:00Z</cp:lastPrinted>
  <dcterms:created xsi:type="dcterms:W3CDTF">2023-07-24T07:59:00Z</dcterms:created>
  <dcterms:modified xsi:type="dcterms:W3CDTF">2024-04-16T05:49:00Z</dcterms:modified>
</cp:coreProperties>
</file>