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51E07" w:rsidRPr="001551C0" w:rsidRDefault="00951E07" w:rsidP="00951E0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САРАТОВСКОЙ ОБЛАСТИ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551C0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B1287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о</w:t>
      </w:r>
      <w:r w:rsidR="00951E07" w:rsidRPr="001551C0">
        <w:rPr>
          <w:rFonts w:ascii="Times New Roman" w:hAnsi="Times New Roman"/>
          <w:sz w:val="28"/>
          <w:szCs w:val="28"/>
        </w:rPr>
        <w:t xml:space="preserve">т </w:t>
      </w:r>
      <w:r w:rsidRPr="001551C0">
        <w:rPr>
          <w:rFonts w:ascii="Times New Roman" w:hAnsi="Times New Roman"/>
          <w:sz w:val="28"/>
          <w:szCs w:val="28"/>
        </w:rPr>
        <w:t>23.</w:t>
      </w:r>
      <w:r w:rsidR="009173A3">
        <w:rPr>
          <w:rFonts w:ascii="Times New Roman" w:hAnsi="Times New Roman"/>
          <w:sz w:val="28"/>
          <w:szCs w:val="28"/>
        </w:rPr>
        <w:t>1</w:t>
      </w:r>
      <w:r w:rsidRPr="001551C0">
        <w:rPr>
          <w:rFonts w:ascii="Times New Roman" w:hAnsi="Times New Roman"/>
          <w:sz w:val="28"/>
          <w:szCs w:val="28"/>
        </w:rPr>
        <w:t>1</w:t>
      </w:r>
      <w:r w:rsidR="00951E07" w:rsidRPr="001551C0">
        <w:rPr>
          <w:rFonts w:ascii="Times New Roman" w:hAnsi="Times New Roman"/>
          <w:sz w:val="28"/>
          <w:szCs w:val="28"/>
        </w:rPr>
        <w:t xml:space="preserve">.2023 г. №  </w:t>
      </w:r>
      <w:r w:rsidR="00C43DC2" w:rsidRPr="001551C0">
        <w:rPr>
          <w:rFonts w:ascii="Times New Roman" w:hAnsi="Times New Roman"/>
          <w:sz w:val="28"/>
          <w:szCs w:val="28"/>
        </w:rPr>
        <w:t>58</w:t>
      </w:r>
      <w:r w:rsidR="00951E07" w:rsidRPr="001551C0">
        <w:rPr>
          <w:rFonts w:ascii="Times New Roman" w:hAnsi="Times New Roman"/>
          <w:sz w:val="28"/>
          <w:szCs w:val="28"/>
        </w:rPr>
        <w:t xml:space="preserve"> 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B3184A" w:rsidP="00951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 </w:t>
      </w:r>
      <w:r w:rsidR="00951E07" w:rsidRPr="001551C0">
        <w:rPr>
          <w:rFonts w:ascii="Times New Roman" w:hAnsi="Times New Roman"/>
          <w:b/>
          <w:sz w:val="28"/>
          <w:szCs w:val="28"/>
        </w:rPr>
        <w:t>О внесении изменений в муниципальн</w:t>
      </w:r>
      <w:r w:rsidR="00617A67" w:rsidRPr="001551C0">
        <w:rPr>
          <w:rFonts w:ascii="Times New Roman" w:hAnsi="Times New Roman"/>
          <w:b/>
          <w:sz w:val="28"/>
          <w:szCs w:val="28"/>
        </w:rPr>
        <w:t>ую</w:t>
      </w:r>
      <w:r w:rsidR="00951E07" w:rsidRPr="001551C0">
        <w:rPr>
          <w:rFonts w:ascii="Times New Roman" w:hAnsi="Times New Roman"/>
          <w:b/>
          <w:sz w:val="28"/>
          <w:szCs w:val="28"/>
        </w:rPr>
        <w:t xml:space="preserve">  программ</w:t>
      </w:r>
      <w:r w:rsidR="00617A67" w:rsidRPr="001551C0">
        <w:rPr>
          <w:rFonts w:ascii="Times New Roman" w:hAnsi="Times New Roman"/>
          <w:b/>
          <w:sz w:val="28"/>
          <w:szCs w:val="28"/>
        </w:rPr>
        <w:t>у</w:t>
      </w:r>
      <w:r w:rsidR="00951E07" w:rsidRPr="001551C0">
        <w:rPr>
          <w:rFonts w:ascii="Times New Roman" w:hAnsi="Times New Roman"/>
          <w:b/>
          <w:sz w:val="28"/>
          <w:szCs w:val="28"/>
        </w:rPr>
        <w:t xml:space="preserve"> «</w:t>
      </w:r>
      <w:r w:rsidR="00951E07" w:rsidRPr="00155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="00951E07" w:rsidRPr="00155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Зорки</w:t>
      </w:r>
      <w:r w:rsidRPr="00155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нском</w:t>
      </w:r>
      <w:proofErr w:type="spellEnd"/>
      <w:r w:rsidRPr="00155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муниципальном образовании</w:t>
      </w:r>
    </w:p>
    <w:p w:rsidR="00951E07" w:rsidRPr="001551C0" w:rsidRDefault="00951E07" w:rsidP="00951E07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 w:rsidRPr="00155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1C0">
        <w:rPr>
          <w:rFonts w:ascii="Times New Roman" w:hAnsi="Times New Roman"/>
          <w:sz w:val="28"/>
          <w:szCs w:val="28"/>
        </w:rPr>
        <w:t>установлении</w:t>
      </w:r>
      <w:proofErr w:type="gramEnd"/>
      <w:r w:rsidRPr="001551C0"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884CCF" w:rsidRDefault="00951E07" w:rsidP="0088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CCF">
        <w:rPr>
          <w:rFonts w:ascii="Times New Roman" w:hAnsi="Times New Roman"/>
          <w:sz w:val="28"/>
          <w:szCs w:val="28"/>
        </w:rPr>
        <w:t>Постановляет: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hAnsi="Times New Roman"/>
          <w:sz w:val="28"/>
          <w:szCs w:val="28"/>
        </w:rPr>
        <w:t xml:space="preserve">1.Внести изменения в постановление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551C0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23.12.2022г. № 93 «Об утверждении  муниципальной  программы   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 »;</w:t>
      </w:r>
    </w:p>
    <w:p w:rsidR="00884CCF" w:rsidRDefault="00951E07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приложения № 1,2,3, к муниципальной программе изложить в новой редакции согласно приложениям</w:t>
      </w:r>
      <w:r w:rsid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5849" w:rsidRDefault="004B5849" w:rsidP="004B5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>Зоркинского</w:t>
      </w:r>
      <w:proofErr w:type="spellEnd"/>
      <w:r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«Интернет».</w:t>
      </w:r>
    </w:p>
    <w:p w:rsidR="00951E07" w:rsidRPr="004B5849" w:rsidRDefault="00951E07" w:rsidP="004B5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исполнением  настоящего постановления оставляю  за  собой.</w:t>
      </w: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4F5" w:rsidRDefault="00C864F5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</w:t>
      </w:r>
      <w:r w:rsidR="00C864F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Е.С.Пономарева </w:t>
      </w:r>
    </w:p>
    <w:p w:rsidR="00951E07" w:rsidRPr="001551C0" w:rsidRDefault="00951E07" w:rsidP="00884CCF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F77087" w:rsidRDefault="00951E07" w:rsidP="00951E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муниципальной программы </w:t>
      </w:r>
      <w:r w:rsidRPr="00F77087">
        <w:rPr>
          <w:rFonts w:ascii="Times New Roman" w:hAnsi="Times New Roman"/>
          <w:sz w:val="28"/>
          <w:szCs w:val="28"/>
        </w:rPr>
        <w:t xml:space="preserve">  </w:t>
      </w:r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«Капитальный ремонт  и ремонт многоквартирных жилых домов и муниципального имущества в  </w:t>
      </w:r>
      <w:proofErr w:type="spellStart"/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984"/>
        <w:gridCol w:w="1134"/>
        <w:gridCol w:w="1560"/>
        <w:gridCol w:w="1275"/>
        <w:gridCol w:w="849"/>
      </w:tblGrid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Цель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образования.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Задачи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);</w:t>
            </w: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подключение объекта к сети газораспределения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 w:rsidP="00951E0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2023-2026 годы.</w:t>
            </w:r>
          </w:p>
        </w:tc>
      </w:tr>
      <w:tr w:rsidR="00951E07" w:rsidRPr="001551C0" w:rsidTr="00951E07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951E07" w:rsidRPr="001551C0" w:rsidTr="00951E07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</w:p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951E07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7A67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7A67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CF6ED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951E07" w:rsidRPr="001551C0" w:rsidTr="00951E07">
        <w:trPr>
          <w:trHeight w:val="34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17A6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</w:tbl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left="360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51E07" w:rsidRPr="001551C0" w:rsidRDefault="00951E07" w:rsidP="00951E0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 w:rsidRPr="001551C0">
        <w:rPr>
          <w:rFonts w:ascii="Times New Roman" w:hAnsi="Times New Roman"/>
          <w:sz w:val="28"/>
          <w:szCs w:val="28"/>
        </w:rPr>
        <w:t>муниципального 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необходим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программный </w:t>
      </w: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подход, так как без стройной комплексной системы капитального ремонта жилых объектов, </w:t>
      </w:r>
      <w:r w:rsidRPr="001551C0">
        <w:rPr>
          <w:rFonts w:ascii="Times New Roman" w:hAnsi="Times New Roman"/>
          <w:sz w:val="28"/>
          <w:szCs w:val="28"/>
        </w:rPr>
        <w:t>муниципального 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невозможно добиться каких-либо зн</w:t>
      </w:r>
      <w:r w:rsidRPr="001551C0"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1551C0"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51E07" w:rsidRPr="001551C0" w:rsidRDefault="00951E07" w:rsidP="00951E07">
      <w:pPr>
        <w:pStyle w:val="a3"/>
        <w:ind w:firstLine="708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1551C0">
        <w:rPr>
          <w:rStyle w:val="text1"/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позволит улучшить </w:t>
      </w:r>
      <w:r w:rsidRPr="001551C0"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 w:rsidRPr="001551C0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  <w:r w:rsidRPr="001551C0"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 w:rsidRPr="001551C0"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</w:t>
      </w:r>
      <w:proofErr w:type="spellEnd"/>
      <w:r w:rsidRPr="001551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51C0"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951E07" w:rsidRPr="001551C0" w:rsidRDefault="00951E07" w:rsidP="00951E0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551C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 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-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газораспределения;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ab/>
      </w:r>
      <w:r w:rsidRPr="001551C0"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- 2023-202</w:t>
      </w:r>
      <w:r w:rsidR="00617A67" w:rsidRPr="001551C0">
        <w:rPr>
          <w:rFonts w:ascii="Times New Roman" w:hAnsi="Times New Roman"/>
          <w:sz w:val="28"/>
          <w:szCs w:val="28"/>
        </w:rPr>
        <w:t>6</w:t>
      </w:r>
      <w:r w:rsidRPr="001551C0">
        <w:rPr>
          <w:rFonts w:ascii="Times New Roman" w:hAnsi="Times New Roman"/>
          <w:sz w:val="28"/>
          <w:szCs w:val="28"/>
        </w:rPr>
        <w:t xml:space="preserve"> годы</w:t>
      </w:r>
    </w:p>
    <w:p w:rsidR="00951E07" w:rsidRPr="001551C0" w:rsidRDefault="00951E07" w:rsidP="00951E07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1551C0"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551C0">
        <w:rPr>
          <w:rFonts w:ascii="Times New Roman" w:hAnsi="Times New Roman"/>
          <w:color w:val="000000"/>
          <w:sz w:val="28"/>
          <w:szCs w:val="28"/>
        </w:rPr>
        <w:t>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</w:t>
      </w: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>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51E07" w:rsidRPr="001551C0" w:rsidRDefault="00951E07" w:rsidP="00951E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51E07" w:rsidRPr="001551C0" w:rsidRDefault="00951E07" w:rsidP="00951E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6" w:anchor="sub_1100" w:history="1">
        <w:r w:rsidRPr="001551C0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 w:rsidRPr="001551C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51E07" w:rsidRPr="001551C0" w:rsidRDefault="00951E07" w:rsidP="00951E07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Общий объем финансового обеспечения программы составляет  </w:t>
      </w:r>
      <w:r w:rsidR="00C60D15" w:rsidRPr="001551C0">
        <w:rPr>
          <w:rFonts w:ascii="Times New Roman" w:hAnsi="Times New Roman"/>
          <w:sz w:val="28"/>
          <w:szCs w:val="28"/>
        </w:rPr>
        <w:t>83,5</w:t>
      </w:r>
      <w:r w:rsidRPr="001551C0">
        <w:rPr>
          <w:rFonts w:ascii="Times New Roman" w:hAnsi="Times New Roman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951E07" w:rsidRPr="001551C0" w:rsidRDefault="00951E07" w:rsidP="00951E07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2024 год –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A16A25" w:rsidRPr="001551C0">
        <w:rPr>
          <w:rFonts w:ascii="Times New Roman" w:hAnsi="Times New Roman"/>
          <w:color w:val="000000"/>
          <w:sz w:val="28"/>
          <w:szCs w:val="28"/>
        </w:rPr>
        <w:t>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,0 тыс. рублей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2025 год -</w:t>
      </w:r>
      <w:r w:rsidR="00A236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2</w:t>
      </w:r>
      <w:r w:rsidR="00A16A25" w:rsidRPr="001551C0">
        <w:rPr>
          <w:rFonts w:ascii="Times New Roman" w:hAnsi="Times New Roman"/>
          <w:color w:val="000000"/>
          <w:sz w:val="28"/>
          <w:szCs w:val="28"/>
        </w:rPr>
        <w:t>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,0 тыс. рублей </w:t>
      </w:r>
    </w:p>
    <w:p w:rsidR="00A16A25" w:rsidRPr="001551C0" w:rsidRDefault="00A16A25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2026 год</w:t>
      </w:r>
      <w:r w:rsidR="00A23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t>-</w:t>
      </w:r>
      <w:r w:rsidR="00A236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4,0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A23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t>рублей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из них: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местный бюджет –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83,5</w:t>
      </w:r>
      <w:r w:rsid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t>тыс. рублей (</w:t>
      </w:r>
      <w:r w:rsidRPr="001551C0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/м</w:t>
      </w:r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1551C0">
        <w:rPr>
          <w:rFonts w:ascii="Times New Roman" w:hAnsi="Times New Roman"/>
          <w:color w:val="000000"/>
          <w:sz w:val="28"/>
          <w:szCs w:val="28"/>
        </w:rPr>
        <w:t>Х 12),</w:t>
      </w:r>
      <w:r w:rsidRPr="001551C0">
        <w:rPr>
          <w:rFonts w:ascii="Times New Roman" w:hAnsi="Times New Roman"/>
          <w:sz w:val="28"/>
          <w:szCs w:val="28"/>
        </w:rPr>
        <w:t xml:space="preserve"> в том числе: </w:t>
      </w:r>
    </w:p>
    <w:p w:rsidR="00C60D15" w:rsidRPr="001551C0" w:rsidRDefault="00951E07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C60D15" w:rsidRPr="001551C0" w:rsidRDefault="004B5658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2024 год – 20 ,0 тыс. рублей </w:t>
      </w:r>
    </w:p>
    <w:p w:rsidR="00C60D15" w:rsidRPr="001551C0" w:rsidRDefault="004B5658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2025 год 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20 ,0 тыс. рублей </w:t>
      </w:r>
    </w:p>
    <w:p w:rsidR="00951E07" w:rsidRPr="001551C0" w:rsidRDefault="004B5658" w:rsidP="00C60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2026 год-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4,0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Style w:val="FontStyle33"/>
          <w:rFonts w:ascii="Times New Roman" w:eastAsia="Times New Roman" w:hAnsi="Times New Roman" w:cs="Times New Roman"/>
          <w:position w:val="-7"/>
          <w:sz w:val="28"/>
          <w:szCs w:val="28"/>
          <w:lang w:eastAsia="ru-RU"/>
        </w:rPr>
        <w:sectPr w:rsidR="00951E07" w:rsidRPr="001551C0">
          <w:pgSz w:w="11906" w:h="16838"/>
          <w:pgMar w:top="568" w:right="991" w:bottom="993" w:left="1701" w:header="709" w:footer="709" w:gutter="0"/>
          <w:cols w:space="720"/>
        </w:sectPr>
      </w:pPr>
    </w:p>
    <w:p w:rsidR="005A1A9E" w:rsidRPr="001551C0" w:rsidRDefault="005A1A9E" w:rsidP="005A1A9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</w:t>
      </w:r>
      <w:r w:rsidRPr="001551C0">
        <w:rPr>
          <w:rFonts w:ascii="Times New Roman" w:hAnsi="Times New Roman"/>
          <w:sz w:val="28"/>
          <w:szCs w:val="28"/>
        </w:rPr>
        <w:t xml:space="preserve"> </w:t>
      </w:r>
    </w:p>
    <w:p w:rsidR="005A1A9E" w:rsidRPr="00DB75CB" w:rsidRDefault="005A1A9E" w:rsidP="00DB75CB">
      <w:pPr>
        <w:tabs>
          <w:tab w:val="left" w:pos="11199"/>
          <w:tab w:val="left" w:pos="11520"/>
        </w:tabs>
        <w:spacing w:after="0" w:line="240" w:lineRule="auto"/>
        <w:ind w:left="11520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A1A9E" w:rsidRDefault="005A1A9E" w:rsidP="00951E07">
      <w:pPr>
        <w:spacing w:after="0" w:line="240" w:lineRule="auto"/>
        <w:jc w:val="center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951E07" w:rsidRPr="005A1A9E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951E07" w:rsidRPr="005A1A9E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основных мероприятий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образовании».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221"/>
        <w:gridCol w:w="3402"/>
        <w:gridCol w:w="1700"/>
        <w:gridCol w:w="1383"/>
      </w:tblGrid>
      <w:tr w:rsidR="00951E07" w:rsidRPr="001551C0" w:rsidTr="00951E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</w:p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</w:p>
        </w:tc>
      </w:tr>
      <w:tr w:rsidR="00951E07" w:rsidRPr="001551C0" w:rsidTr="00951E07"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</w:tr>
      <w:tr w:rsidR="00951E07" w:rsidRPr="001551C0" w:rsidTr="00951E07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331AEB" w:rsidRDefault="003423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Основное мероприятие</w:t>
            </w:r>
            <w:r w:rsidR="00951E07"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51E07" w:rsidRPr="001551C0" w:rsidTr="00951E07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1E07" w:rsidRPr="001551C0" w:rsidTr="00951E07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9534B7" w:rsidRDefault="00951E07" w:rsidP="00953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E07" w:rsidRPr="001551C0" w:rsidTr="00951E07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331AEB" w:rsidRDefault="009534B7" w:rsidP="009534B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31AE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1E07" w:rsidRPr="00331AEB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  <w:bookmarkEnd w:id="0"/>
          </w:p>
        </w:tc>
      </w:tr>
      <w:tr w:rsidR="00951E07" w:rsidRPr="001551C0" w:rsidTr="00951E07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 w:rsidP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</w:tbl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br w:type="page"/>
      </w:r>
      <w:r w:rsidRPr="001551C0"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ind w:left="11520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431"/>
        <w:gridCol w:w="1111"/>
        <w:gridCol w:w="1134"/>
        <w:gridCol w:w="1054"/>
        <w:gridCol w:w="1216"/>
        <w:gridCol w:w="1440"/>
        <w:gridCol w:w="61"/>
        <w:gridCol w:w="1193"/>
      </w:tblGrid>
      <w:tr w:rsidR="00A16A25" w:rsidRPr="001551C0" w:rsidTr="00487EDB">
        <w:trPr>
          <w:trHeight w:val="24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A16A25" w:rsidRPr="001551C0" w:rsidTr="00A16A25">
        <w:trPr>
          <w:trHeight w:val="11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базовый</w:t>
            </w: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2024г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F9" w:rsidRDefault="00C835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6A25" w:rsidRPr="001551C0" w:rsidRDefault="00A16A2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2026г.</w:t>
            </w:r>
          </w:p>
          <w:p w:rsidR="00A16A25" w:rsidRPr="001551C0" w:rsidRDefault="00A16A25" w:rsidP="00A16A2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6A25" w:rsidRPr="001551C0" w:rsidTr="00A16A25">
        <w:trPr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Капитальный ремонт 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 w:rsidP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16A25" w:rsidRDefault="00A16A25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Pr="001551C0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Приложение № 3 </w:t>
      </w:r>
    </w:p>
    <w:p w:rsidR="00951E07" w:rsidRPr="001551C0" w:rsidRDefault="004907FE" w:rsidP="00951E07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1E07" w:rsidRPr="001551C0">
        <w:rPr>
          <w:rFonts w:ascii="Times New Roman" w:hAnsi="Times New Roman"/>
          <w:sz w:val="28"/>
          <w:szCs w:val="28"/>
        </w:rPr>
        <w:t xml:space="preserve">  муниципальной программе </w:t>
      </w:r>
    </w:p>
    <w:p w:rsidR="00951E07" w:rsidRPr="001551C0" w:rsidRDefault="00951E07" w:rsidP="00951E07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</w:p>
    <w:p w:rsidR="00951E07" w:rsidRPr="001551C0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10"/>
        <w:gridCol w:w="2267"/>
        <w:gridCol w:w="2975"/>
        <w:gridCol w:w="1276"/>
        <w:gridCol w:w="992"/>
        <w:gridCol w:w="1276"/>
        <w:gridCol w:w="960"/>
        <w:gridCol w:w="75"/>
        <w:gridCol w:w="954"/>
      </w:tblGrid>
      <w:tr w:rsidR="00951E07" w:rsidRPr="001551C0" w:rsidTr="00A16A2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(всего)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A16A25" w:rsidRPr="001551C0" w:rsidRDefault="00A16A25" w:rsidP="00A16A25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A16A25" w:rsidRPr="001551C0" w:rsidTr="00A16A2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A347D6" w:rsidRDefault="001F25C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Муниципальная 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программа  </w:t>
            </w:r>
          </w:p>
          <w:p w:rsidR="00A16A25" w:rsidRPr="00A347D6" w:rsidRDefault="00A16A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муниципальном образовании» </w:t>
            </w:r>
            <w:r w:rsidRPr="00A347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A16A25" w:rsidRPr="001551C0" w:rsidRDefault="00A16A25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</w:t>
            </w:r>
          </w:p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A347D6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A347D6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C60D15" w:rsidP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A347D6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A347D6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A16A25"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C60D15" w:rsidRPr="001551C0" w:rsidTr="00B0161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15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9F7E82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9F7E82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9F7E82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9F7E82" w:rsidP="00BC4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0D15"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C60D15" w:rsidRPr="001551C0" w:rsidTr="00986A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C60D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5" w:rsidRPr="001551C0" w:rsidRDefault="00C60D15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9F7E82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9F7E82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5" w:rsidRPr="001551C0" w:rsidRDefault="009F7E82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60D15"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1551C0" w:rsidRDefault="009F7E82" w:rsidP="0094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60D15"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16A25" w:rsidRPr="001551C0" w:rsidTr="00A16A2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2F61F3">
              <w:rPr>
                <w:rFonts w:ascii="Times New Roman" w:hAnsi="Times New Roman"/>
                <w:sz w:val="28"/>
                <w:szCs w:val="28"/>
                <w:lang w:eastAsia="en-US"/>
              </w:rPr>
              <w:t>ные</w:t>
            </w:r>
            <w:r w:rsidR="00A16A25"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51E07" w:rsidRPr="001551C0" w:rsidTr="00A16A2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A347D6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</w:t>
            </w:r>
            <w:proofErr w:type="gramStart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D92A94" w:rsidRPr="001551C0" w:rsidTr="00B336FA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A94" w:rsidRPr="001551C0" w:rsidRDefault="00D92A9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92A94" w:rsidRPr="001551C0" w:rsidRDefault="00D92A9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Зоркинского</w:t>
            </w:r>
            <w:proofErr w:type="spellEnd"/>
          </w:p>
          <w:p w:rsidR="00D92A94" w:rsidRPr="001551C0" w:rsidRDefault="00D92A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D92A94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92A94" w:rsidRPr="001551C0" w:rsidTr="00B336FA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A94" w:rsidRPr="001551C0" w:rsidRDefault="00764DC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D92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94" w:rsidRPr="001551C0" w:rsidRDefault="00D92A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="00D92A94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94" w:rsidRPr="001551C0" w:rsidRDefault="00D92A94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94" w:rsidRPr="001551C0" w:rsidRDefault="00D92A9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94" w:rsidRPr="001551C0" w:rsidRDefault="00D92A94" w:rsidP="0094010D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51E07" w:rsidRPr="001551C0" w:rsidTr="00A16A25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2F61F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51E07" w:rsidRPr="001551C0" w:rsidTr="00214FA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иные </w:t>
            </w:r>
            <w:r w:rsidR="00951E07"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07" w:rsidRPr="001551C0" w:rsidRDefault="00415CD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415CD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214FA8" w:rsidRPr="001551C0" w:rsidTr="00214F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8" w:rsidRPr="00A347D6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A8" w:rsidRPr="00A347D6" w:rsidRDefault="00214FA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47D6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242BB5" w:rsidRPr="001551C0" w:rsidTr="007F58A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B5" w:rsidRPr="001551C0" w:rsidRDefault="00242BB5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BB5" w:rsidRPr="001551C0" w:rsidRDefault="0024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BB5" w:rsidRPr="001551C0" w:rsidRDefault="00242BB5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  <w:p w:rsidR="00242BB5" w:rsidRPr="001551C0" w:rsidRDefault="00242BB5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242BB5" w:rsidRPr="001551C0" w:rsidRDefault="00242BB5" w:rsidP="004A4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B5" w:rsidRPr="001551C0" w:rsidRDefault="00242BB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B5" w:rsidRPr="00AB3B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B5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B5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B5" w:rsidRPr="001551C0" w:rsidRDefault="00AB3BC0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AB3BC0" w:rsidRPr="001551C0" w:rsidTr="007F58A2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C0" w:rsidRPr="001551C0" w:rsidRDefault="00AB3BC0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0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AB3B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AB3BC0" w:rsidRPr="001551C0" w:rsidTr="007F58A2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C0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0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AB3B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AB3BC0" w:rsidRPr="001551C0" w:rsidTr="007F58A2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0" w:rsidRPr="001551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0" w:rsidRDefault="00AB3BC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иные 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AB3B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0" w:rsidRPr="001551C0" w:rsidRDefault="00AB3BC0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</w:tbl>
    <w:p w:rsidR="00951E07" w:rsidRPr="001551C0" w:rsidRDefault="00951E07" w:rsidP="00951E07">
      <w:pPr>
        <w:rPr>
          <w:rFonts w:ascii="Times New Roman" w:hAnsi="Times New Roman"/>
          <w:sz w:val="28"/>
          <w:szCs w:val="28"/>
        </w:rPr>
      </w:pPr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Глава  </w:t>
      </w:r>
      <w:proofErr w:type="spellStart"/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>Зоркинского</w:t>
      </w:r>
      <w:proofErr w:type="spellEnd"/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муниципального образования                                                                                                                                             </w:t>
      </w:r>
      <w:proofErr w:type="spellStart"/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>Е.С.Пономарева</w:t>
      </w:r>
      <w:proofErr w:type="spellEnd"/>
    </w:p>
    <w:p w:rsidR="000B3E38" w:rsidRPr="000B3E38" w:rsidRDefault="000B3E38" w:rsidP="000B3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605" w:rsidRPr="000B3E38" w:rsidRDefault="00275605">
      <w:pPr>
        <w:rPr>
          <w:rFonts w:ascii="Times New Roman" w:hAnsi="Times New Roman"/>
          <w:sz w:val="28"/>
          <w:szCs w:val="28"/>
        </w:rPr>
      </w:pPr>
    </w:p>
    <w:sectPr w:rsidR="00275605" w:rsidRPr="000B3E38" w:rsidSect="00DB75CB">
      <w:pgSz w:w="16838" w:h="11906" w:orient="landscape" w:code="9"/>
      <w:pgMar w:top="851" w:right="425" w:bottom="15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BDE"/>
    <w:multiLevelType w:val="hybridMultilevel"/>
    <w:tmpl w:val="051E994C"/>
    <w:lvl w:ilvl="0" w:tplc="C44663A4">
      <w:start w:val="2026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1E07"/>
    <w:rsid w:val="0000419B"/>
    <w:rsid w:val="0001464C"/>
    <w:rsid w:val="0004197F"/>
    <w:rsid w:val="000B3E38"/>
    <w:rsid w:val="000D3D45"/>
    <w:rsid w:val="001551C0"/>
    <w:rsid w:val="001F25C6"/>
    <w:rsid w:val="00214FA8"/>
    <w:rsid w:val="00242BB5"/>
    <w:rsid w:val="00275605"/>
    <w:rsid w:val="002F61F3"/>
    <w:rsid w:val="00310C04"/>
    <w:rsid w:val="00331535"/>
    <w:rsid w:val="00331AEB"/>
    <w:rsid w:val="003423E2"/>
    <w:rsid w:val="003933DD"/>
    <w:rsid w:val="003D4F37"/>
    <w:rsid w:val="00415CDA"/>
    <w:rsid w:val="004716F0"/>
    <w:rsid w:val="004907FE"/>
    <w:rsid w:val="004A460B"/>
    <w:rsid w:val="004B5658"/>
    <w:rsid w:val="004B5849"/>
    <w:rsid w:val="004E27A8"/>
    <w:rsid w:val="00557844"/>
    <w:rsid w:val="00571B4C"/>
    <w:rsid w:val="005A1A9E"/>
    <w:rsid w:val="006017E0"/>
    <w:rsid w:val="00617A67"/>
    <w:rsid w:val="006F714D"/>
    <w:rsid w:val="00764DC5"/>
    <w:rsid w:val="00775E7E"/>
    <w:rsid w:val="007C2DA8"/>
    <w:rsid w:val="008601EB"/>
    <w:rsid w:val="00884CCF"/>
    <w:rsid w:val="00891644"/>
    <w:rsid w:val="008F1308"/>
    <w:rsid w:val="009173A3"/>
    <w:rsid w:val="00951E07"/>
    <w:rsid w:val="009534B7"/>
    <w:rsid w:val="009C6626"/>
    <w:rsid w:val="009F7E82"/>
    <w:rsid w:val="00A018DB"/>
    <w:rsid w:val="00A16A25"/>
    <w:rsid w:val="00A236D6"/>
    <w:rsid w:val="00A347D6"/>
    <w:rsid w:val="00AB3BC0"/>
    <w:rsid w:val="00B12877"/>
    <w:rsid w:val="00B3184A"/>
    <w:rsid w:val="00B837A8"/>
    <w:rsid w:val="00B955F9"/>
    <w:rsid w:val="00C43DC2"/>
    <w:rsid w:val="00C60D15"/>
    <w:rsid w:val="00C723C5"/>
    <w:rsid w:val="00C835F9"/>
    <w:rsid w:val="00C864F5"/>
    <w:rsid w:val="00CF6ED2"/>
    <w:rsid w:val="00D01DB9"/>
    <w:rsid w:val="00D62715"/>
    <w:rsid w:val="00D92A94"/>
    <w:rsid w:val="00DB13A4"/>
    <w:rsid w:val="00DB75CB"/>
    <w:rsid w:val="00DD050C"/>
    <w:rsid w:val="00EC141C"/>
    <w:rsid w:val="00F43F80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0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1E07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51E07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51E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51E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51E07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51E07"/>
    <w:rPr>
      <w:b/>
      <w:bCs/>
      <w:color w:val="106BBE"/>
      <w:sz w:val="26"/>
      <w:szCs w:val="26"/>
    </w:rPr>
  </w:style>
  <w:style w:type="character" w:customStyle="1" w:styleId="text1">
    <w:name w:val="text1"/>
    <w:rsid w:val="00951E07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51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51E07"/>
    <w:rPr>
      <w:rFonts w:ascii="Candara" w:hAnsi="Candara" w:cs="Candara" w:hint="default"/>
      <w:b/>
      <w:bCs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Елена Лазарева</cp:lastModifiedBy>
  <cp:revision>41</cp:revision>
  <dcterms:created xsi:type="dcterms:W3CDTF">2023-10-20T10:44:00Z</dcterms:created>
  <dcterms:modified xsi:type="dcterms:W3CDTF">2023-11-28T09:09:00Z</dcterms:modified>
</cp:coreProperties>
</file>